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370"/>
        </w:tabs>
        <w:spacing w:line="600" w:lineRule="exact"/>
        <w:jc w:val="center"/>
        <w:rPr>
          <w:rFonts w:hint="eastAsia" w:ascii="方正小标宋_GBK" w:hAnsi="方正小标宋简体" w:eastAsia="方正小标宋_GBK" w:cs="方正小标宋简体"/>
          <w:sz w:val="44"/>
          <w:szCs w:val="32"/>
          <w:lang w:eastAsia="zh-CN"/>
        </w:rPr>
      </w:pPr>
      <w:r>
        <w:rPr>
          <w:rFonts w:hint="eastAsia" w:ascii="方正小标宋_GBK" w:hAnsi="方正小标宋简体" w:eastAsia="方正小标宋_GBK" w:cs="方正小标宋简体"/>
          <w:sz w:val="44"/>
          <w:szCs w:val="32"/>
        </w:rPr>
        <w:t>青岛市</w:t>
      </w:r>
      <w:r>
        <w:rPr>
          <w:rFonts w:hint="eastAsia" w:ascii="方正小标宋_GBK" w:hAnsi="方正小标宋简体" w:eastAsia="方正小标宋_GBK" w:cs="方正小标宋简体"/>
          <w:sz w:val="44"/>
          <w:szCs w:val="32"/>
          <w:lang w:eastAsia="zh-CN"/>
        </w:rPr>
        <w:t>企业迁移登记“一件事”</w:t>
      </w:r>
    </w:p>
    <w:p>
      <w:pPr>
        <w:tabs>
          <w:tab w:val="left" w:pos="5370"/>
        </w:tabs>
        <w:spacing w:line="600" w:lineRule="exact"/>
        <w:jc w:val="center"/>
        <w:rPr>
          <w:rFonts w:hint="eastAsia" w:ascii="方正小标宋_GBK" w:hAnsi="方正小标宋简体" w:eastAsia="方正小标宋_GBK" w:cs="方正小标宋简体"/>
          <w:sz w:val="44"/>
          <w:szCs w:val="32"/>
        </w:rPr>
      </w:pPr>
      <w:r>
        <w:rPr>
          <w:rFonts w:hint="eastAsia" w:ascii="方正小标宋_GBK" w:hAnsi="方正小标宋简体" w:eastAsia="方正小标宋_GBK" w:cs="方正小标宋简体"/>
          <w:sz w:val="44"/>
          <w:szCs w:val="32"/>
        </w:rPr>
        <w:t>网上申报操作指南</w:t>
      </w:r>
    </w:p>
    <w:p>
      <w:pPr>
        <w:tabs>
          <w:tab w:val="left" w:pos="5370"/>
        </w:tabs>
        <w:spacing w:line="600" w:lineRule="exact"/>
        <w:jc w:val="center"/>
        <w:rPr>
          <w:rFonts w:hint="eastAsia" w:ascii="仿宋_GB2312" w:hAnsi="方正小标宋简体" w:eastAsia="仿宋_GB2312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1.进入</w:t>
      </w:r>
      <w:r>
        <w:rPr>
          <w:rFonts w:hint="eastAsia" w:ascii="仿宋_GB2312" w:hAnsi="仿宋_GB2312" w:eastAsia="仿宋_GB2312"/>
          <w:color w:val="auto"/>
          <w:sz w:val="32"/>
          <w:szCs w:val="24"/>
          <w:shd w:val="clear" w:color="auto" w:fill="FFFFFF"/>
        </w:rPr>
        <w:t>山东政务服务网</w:t>
      </w:r>
      <w:r>
        <w:rPr>
          <w:rFonts w:hint="eastAsia" w:ascii="仿宋_GB2312" w:hAnsi="仿宋_GB2312" w:eastAsia="仿宋_GB2312"/>
          <w:color w:val="auto"/>
          <w:sz w:val="32"/>
          <w:szCs w:val="24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/>
          <w:color w:val="auto"/>
          <w:sz w:val="32"/>
          <w:szCs w:val="24"/>
          <w:shd w:val="clear" w:color="auto" w:fill="FFFFFF"/>
          <w:lang w:val="en-US" w:eastAsia="zh-CN"/>
        </w:rPr>
        <w:t>青岛站</w:t>
      </w:r>
      <w:r>
        <w:rPr>
          <w:rFonts w:hint="eastAsia" w:ascii="仿宋_GB2312" w:hAnsi="仿宋_GB2312" w:eastAsia="仿宋_GB2312"/>
          <w:color w:val="auto"/>
          <w:sz w:val="32"/>
          <w:szCs w:val="24"/>
          <w:shd w:val="clear" w:color="auto" w:fill="FFFFFF"/>
          <w:lang w:eastAsia="zh-CN"/>
        </w:rPr>
        <w:t>）“高效办成一件事”重点事项专区</w:t>
      </w:r>
      <w:r>
        <w:rPr>
          <w:rFonts w:hint="eastAsia" w:ascii="仿宋_GB2312" w:hAnsi="仿宋_GB2312" w:eastAsia="仿宋_GB2312"/>
          <w:color w:val="auto"/>
          <w:sz w:val="32"/>
          <w:szCs w:val="24"/>
          <w:shd w:val="clear" w:color="auto" w:fill="FFFFFF"/>
        </w:rPr>
        <w:t>（http://spdt.qingdao.gov.cn/onethings/special）</w:t>
      </w:r>
      <w:r>
        <w:rPr>
          <w:rFonts w:hint="eastAsia" w:ascii="仿宋_GB2312" w:hAnsi="仿宋_GB2312" w:eastAsia="仿宋_GB2312"/>
          <w:color w:val="auto"/>
          <w:sz w:val="32"/>
          <w:szCs w:val="24"/>
          <w:shd w:val="clear" w:color="auto" w:fill="FFFFFF"/>
          <w:lang w:val="en-US" w:eastAsia="zh-CN"/>
        </w:rPr>
        <w:t>找到“企业迁移登记‘一件事’”服务主题</w:t>
      </w:r>
      <w:r>
        <w:rPr>
          <w:rFonts w:hint="eastAsia" w:ascii="仿宋_GB2312" w:hAnsi="Times New Roman" w:eastAsia="仿宋_GB2312" w:cs="Times New Roman"/>
          <w:sz w:val="32"/>
          <w:szCs w:val="32"/>
        </w:rPr>
        <w:t>，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选择企业类型后点击“立即办理”，</w:t>
      </w:r>
      <w:r>
        <w:rPr>
          <w:rFonts w:hint="eastAsia" w:ascii="仿宋_GB2312" w:hAnsi="Times New Roman" w:eastAsia="仿宋_GB2312" w:cs="Times New Roman"/>
          <w:sz w:val="32"/>
          <w:szCs w:val="32"/>
        </w:rPr>
        <w:t>使用“山东省统一身份认证平台”用户进行登录办理。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614035" cy="4045585"/>
            <wp:effectExtent l="0" t="0" r="571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仿宋_GB2312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615940" cy="4100830"/>
            <wp:effectExtent l="0" t="0" r="381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574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通过电子营业执照扫码或通过填写统一社会信用代码、法定代表人证件号码方式发起业务。</w:t>
      </w:r>
    </w:p>
    <w:p>
      <w:pPr>
        <w:pStyle w:val="2"/>
      </w:pPr>
      <w:r>
        <w:drawing>
          <wp:inline distT="0" distB="0" distL="114300" distR="114300">
            <wp:extent cx="5273040" cy="2591435"/>
            <wp:effectExtent l="0" t="0" r="3810" b="18415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hint="eastAsia" w:ascii="仿宋_GB2312" w:hAnsi="Microsoft YaHei UI" w:eastAsia="仿宋_GB2312"/>
          <w:spacing w:val="9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</w:t>
      </w:r>
      <w:r>
        <w:rPr>
          <w:rFonts w:hint="eastAsia" w:ascii="仿宋_GB2312" w:hAnsi="Microsoft YaHei UI" w:eastAsia="仿宋_GB2312"/>
          <w:spacing w:val="9"/>
          <w:sz w:val="32"/>
          <w:szCs w:val="32"/>
        </w:rPr>
        <w:t>在“填写相关材料”界面，需详细填写“变更后住所”以及“变更后属地监管工商所”，也可以按照需求选择其他变更事项一并办理。确认无误后点击“保存”，并点击“下一步”。再根据企业实际情况，填写相关人员信息、授权委托、营业执照领取方式等信息。</w:t>
      </w:r>
    </w:p>
    <w:p>
      <w:pPr>
        <w:pStyle w:val="11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646930" cy="4704080"/>
            <wp:effectExtent l="0" t="0" r="1270" b="1270"/>
            <wp:docPr id="9175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86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25406" r="28391"/>
                    <a:stretch>
                      <a:fillRect/>
                    </a:stretch>
                  </pic:blipFill>
                  <pic:spPr>
                    <a:xfrm>
                      <a:off x="0" y="0"/>
                      <a:ext cx="4652509" cy="4704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>
      <w:pPr>
        <w:pStyle w:val="11"/>
        <w:ind w:firstLine="0" w:firstLineChars="0"/>
        <w:jc w:val="center"/>
        <w:rPr>
          <w:rFonts w:ascii="仿宋_GB2312" w:eastAsia="仿宋_GB2312"/>
          <w:sz w:val="32"/>
          <w:szCs w:val="32"/>
        </w:rPr>
      </w:pPr>
    </w:p>
    <w:p>
      <w:pPr>
        <w:pStyle w:val="11"/>
        <w:ind w:firstLine="640"/>
        <w:jc w:val="left"/>
        <w:rPr>
          <w:rFonts w:hint="eastAsia" w:ascii="仿宋_GB2312" w:hAnsi="Microsoft YaHei UI" w:eastAsia="仿宋_GB2312"/>
          <w:spacing w:val="9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4、迁移</w:t>
      </w:r>
      <w:r>
        <w:rPr>
          <w:rFonts w:hint="eastAsia" w:ascii="仿宋_GB2312" w:hAnsi="Microsoft YaHei UI" w:eastAsia="仿宋_GB2312"/>
          <w:spacing w:val="9"/>
          <w:sz w:val="32"/>
          <w:szCs w:val="32"/>
        </w:rPr>
        <w:t>信息填写完成后，点击下一步进入“同步办理事项”环节，企业可自主点选税务、社保、公积金等可同步办理迁移的事项，并在本页面填写相关事项所需信息。</w:t>
      </w:r>
    </w:p>
    <w:p>
      <w:pPr>
        <w:pStyle w:val="11"/>
        <w:ind w:firstLine="640"/>
        <w:jc w:val="left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税务：仅需点选“是否同步迁移”；</w:t>
      </w:r>
    </w:p>
    <w:p>
      <w:pPr>
        <w:pStyle w:val="11"/>
        <w:ind w:firstLine="640"/>
        <w:jc w:val="left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社保：仅需点选“是否同步迁移”；</w:t>
      </w:r>
    </w:p>
    <w:p>
      <w:pPr>
        <w:pStyle w:val="11"/>
        <w:ind w:firstLine="640"/>
        <w:jc w:val="left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公积金：如需同步迁移需要填写联系人、联系人手机、公积金缴存比例（单位）、公积金缴存比例（个人）、发薪日、公积金起缴年月、公积金开户机构、单位性质等信息。</w:t>
      </w:r>
    </w:p>
    <w:p>
      <w:pPr>
        <w:pStyle w:val="11"/>
        <w:ind w:firstLine="640"/>
        <w:jc w:val="left"/>
        <w:rPr>
          <w:rFonts w:hint="eastAsia" w:ascii="仿宋_GB2312" w:hAnsi="Microsoft YaHei UI" w:eastAsia="仿宋_GB2312"/>
          <w:spacing w:val="9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5、同步迁移</w:t>
      </w:r>
      <w:r>
        <w:rPr>
          <w:rFonts w:hint="eastAsia" w:ascii="仿宋_GB2312" w:hAnsi="Microsoft YaHei UI" w:eastAsia="仿宋_GB2312"/>
          <w:spacing w:val="9"/>
          <w:sz w:val="32"/>
          <w:szCs w:val="32"/>
        </w:rPr>
        <w:t>信息填写完成后，企业可自主选择申报方式，系统提供全程电子化登记、窗口登记两种申报方式。</w:t>
      </w:r>
    </w:p>
    <w:p>
      <w:pPr>
        <w:pStyle w:val="11"/>
        <w:jc w:val="left"/>
        <w:rPr>
          <w:rFonts w:hint="eastAsia" w:ascii="仿宋_GB2312" w:hAnsi="Microsoft YaHei UI" w:eastAsia="仿宋_GB2312"/>
          <w:spacing w:val="9"/>
          <w:sz w:val="32"/>
          <w:szCs w:val="32"/>
        </w:rPr>
      </w:pPr>
      <w:r>
        <w:drawing>
          <wp:inline distT="0" distB="0" distL="0" distR="0">
            <wp:extent cx="5274310" cy="3924935"/>
            <wp:effectExtent l="0" t="0" r="0" b="0"/>
            <wp:docPr id="907020625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20625" name="图片 1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企业办理迁移登记后，系统自动将填报的企业信息及迁移记录精准推送至审批、税务、社保、公积金等业务系统，各单位审核完成后迁移数据实现自动同步更新。</w:t>
      </w:r>
    </w:p>
    <w:p>
      <w:pPr>
        <w:pStyle w:val="11"/>
        <w:ind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7.经迁入地业务人员审核通过后，办事人可以直接在迁入地登记机关领取新营业执照，企业档案后续由迁出地登记机关寄递。</w:t>
      </w:r>
    </w:p>
    <w:p>
      <w:pPr>
        <w:pStyle w:val="2"/>
        <w:rPr>
          <w:rFonts w:ascii="仿宋_GB2312" w:eastAsia="仿宋_GB2312"/>
          <w:sz w:val="32"/>
          <w:szCs w:val="32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—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BhODdkMTYwMGIwYTcwNTVlYmQ2MmQxNTBkZjg4OTgifQ=="/>
    <w:docVar w:name="KSO_WPS_MARK_KEY" w:val="450be4d6-d4b7-4f0a-9aa4-74e74f6302b8"/>
  </w:docVars>
  <w:rsids>
    <w:rsidRoot w:val="00172A27"/>
    <w:rsid w:val="00072B71"/>
    <w:rsid w:val="00072E20"/>
    <w:rsid w:val="00096DB9"/>
    <w:rsid w:val="000A18FB"/>
    <w:rsid w:val="000A313F"/>
    <w:rsid w:val="000C7899"/>
    <w:rsid w:val="000F6B20"/>
    <w:rsid w:val="001401B9"/>
    <w:rsid w:val="001430AA"/>
    <w:rsid w:val="00181BEE"/>
    <w:rsid w:val="001B2555"/>
    <w:rsid w:val="001E4820"/>
    <w:rsid w:val="002316E9"/>
    <w:rsid w:val="00253FC1"/>
    <w:rsid w:val="00276AF1"/>
    <w:rsid w:val="002958DC"/>
    <w:rsid w:val="003144E7"/>
    <w:rsid w:val="0037631D"/>
    <w:rsid w:val="00382B07"/>
    <w:rsid w:val="003B7C66"/>
    <w:rsid w:val="003D0928"/>
    <w:rsid w:val="003E0479"/>
    <w:rsid w:val="0045365F"/>
    <w:rsid w:val="0046085F"/>
    <w:rsid w:val="004976D5"/>
    <w:rsid w:val="004A0AAF"/>
    <w:rsid w:val="004D4349"/>
    <w:rsid w:val="004D7135"/>
    <w:rsid w:val="004F1E36"/>
    <w:rsid w:val="00577E2A"/>
    <w:rsid w:val="005B6412"/>
    <w:rsid w:val="005C4073"/>
    <w:rsid w:val="00621D2C"/>
    <w:rsid w:val="00646514"/>
    <w:rsid w:val="00673AA7"/>
    <w:rsid w:val="00725C4C"/>
    <w:rsid w:val="00815CDA"/>
    <w:rsid w:val="00820DA5"/>
    <w:rsid w:val="00843AFE"/>
    <w:rsid w:val="00852CD3"/>
    <w:rsid w:val="00870631"/>
    <w:rsid w:val="008B3E75"/>
    <w:rsid w:val="008C6F42"/>
    <w:rsid w:val="008D0F83"/>
    <w:rsid w:val="008F020D"/>
    <w:rsid w:val="008F7802"/>
    <w:rsid w:val="009170EB"/>
    <w:rsid w:val="0094018C"/>
    <w:rsid w:val="009563C9"/>
    <w:rsid w:val="0096436D"/>
    <w:rsid w:val="009F1253"/>
    <w:rsid w:val="009F3875"/>
    <w:rsid w:val="00A0077D"/>
    <w:rsid w:val="00A21F5F"/>
    <w:rsid w:val="00A321E6"/>
    <w:rsid w:val="00A32B4D"/>
    <w:rsid w:val="00A40E5B"/>
    <w:rsid w:val="00AA625F"/>
    <w:rsid w:val="00AF1E7B"/>
    <w:rsid w:val="00AF39E4"/>
    <w:rsid w:val="00AF4609"/>
    <w:rsid w:val="00B142C7"/>
    <w:rsid w:val="00B35923"/>
    <w:rsid w:val="00B50915"/>
    <w:rsid w:val="00B532D6"/>
    <w:rsid w:val="00B81901"/>
    <w:rsid w:val="00B874EA"/>
    <w:rsid w:val="00BA175B"/>
    <w:rsid w:val="00BB7A99"/>
    <w:rsid w:val="00C003C0"/>
    <w:rsid w:val="00C12410"/>
    <w:rsid w:val="00C827DC"/>
    <w:rsid w:val="00CC38B5"/>
    <w:rsid w:val="00D17AF5"/>
    <w:rsid w:val="00D31C69"/>
    <w:rsid w:val="00D320C0"/>
    <w:rsid w:val="00D82310"/>
    <w:rsid w:val="00DD5E67"/>
    <w:rsid w:val="00E20117"/>
    <w:rsid w:val="00E77F5C"/>
    <w:rsid w:val="00E938C1"/>
    <w:rsid w:val="00EA7E08"/>
    <w:rsid w:val="00EB251D"/>
    <w:rsid w:val="00EE0EBB"/>
    <w:rsid w:val="00EF743F"/>
    <w:rsid w:val="00F11D28"/>
    <w:rsid w:val="00F3371E"/>
    <w:rsid w:val="00F522C7"/>
    <w:rsid w:val="00F86FF7"/>
    <w:rsid w:val="2E422C9F"/>
    <w:rsid w:val="319F022F"/>
    <w:rsid w:val="43F32FB9"/>
    <w:rsid w:val="496B1979"/>
    <w:rsid w:val="4C583995"/>
    <w:rsid w:val="54E71C5A"/>
    <w:rsid w:val="68C57F09"/>
    <w:rsid w:val="791C7DF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unhideWhenUsed/>
    <w:qFormat/>
    <w:uiPriority w:val="39"/>
    <w:pPr>
      <w:ind w:firstLine="420" w:firstLineChars="200"/>
    </w:pPr>
  </w:style>
  <w:style w:type="paragraph" w:styleId="7">
    <w:name w:val="Normal (Web)"/>
    <w:unhideWhenUsed/>
    <w:qFormat/>
    <w:uiPriority w:val="0"/>
    <w:pPr>
      <w:spacing w:before="100" w:beforeLines="0" w:beforeAutospacing="1" w:after="100" w:afterLines="0" w:afterAutospacing="1"/>
    </w:pPr>
    <w:rPr>
      <w:rFonts w:hint="default"/>
      <w:sz w:val="24"/>
      <w:szCs w:val="24"/>
      <w:lang w:val="en-US" w:eastAsia="zh-CN" w:bidi="ar"/>
    </w:rPr>
  </w:style>
  <w:style w:type="character" w:customStyle="1" w:styleId="10">
    <w:name w:val="批注框文本 字符"/>
    <w:basedOn w:val="9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111</Words>
  <Characters>635</Characters>
  <Lines>5</Lines>
  <Paragraphs>1</Paragraphs>
  <TotalTime>228</TotalTime>
  <ScaleCrop>false</ScaleCrop>
  <LinksUpToDate>false</LinksUpToDate>
  <CharactersWithSpaces>745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2024-02-27T10:28:00Z</dcterms:created>
  <dc:creator>Administrator</dc:creator>
  <cp:lastModifiedBy>DELL</cp:lastModifiedBy>
  <dcterms:modified xsi:type="dcterms:W3CDTF">2025-02-13T03:15:59Z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3D50FE21A33D44A1B8643EC32826CDC2_12</vt:lpwstr>
  </property>
</Properties>
</file>